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B9" w:rsidRPr="00195D68" w:rsidRDefault="00512156" w:rsidP="00CB137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195D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Kanser İstatistikleri</w:t>
      </w:r>
    </w:p>
    <w:p w:rsidR="00A049B0" w:rsidRDefault="00425507" w:rsidP="00425507">
      <w:pPr>
        <w:pStyle w:val="ListeParagraf"/>
        <w:tabs>
          <w:tab w:val="left" w:pos="426"/>
          <w:tab w:val="left" w:pos="1530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512156" w:rsidRPr="0077752D">
        <w:rPr>
          <w:rFonts w:ascii="Times New Roman" w:hAnsi="Times New Roman"/>
          <w:sz w:val="24"/>
          <w:szCs w:val="24"/>
          <w:shd w:val="clear" w:color="auto" w:fill="FFFFFF"/>
        </w:rPr>
        <w:t>Kanser beraberinde getirdiği sağlık sorunlarının yanı sıra, maddi ve manevi yönden uzun süreli mücadele gerektiren bir hastalıktır.</w:t>
      </w:r>
      <w:r w:rsidR="00512156">
        <w:rPr>
          <w:rFonts w:ascii="Times New Roman" w:hAnsi="Times New Roman"/>
          <w:sz w:val="24"/>
          <w:szCs w:val="24"/>
          <w:shd w:val="clear" w:color="auto" w:fill="FFFFFF"/>
        </w:rPr>
        <w:t xml:space="preserve"> Dünyada h</w:t>
      </w:r>
      <w:r w:rsidR="00512156" w:rsidRPr="0077752D">
        <w:rPr>
          <w:rFonts w:ascii="Times New Roman" w:hAnsi="Times New Roman"/>
          <w:color w:val="000000"/>
          <w:sz w:val="24"/>
          <w:szCs w:val="24"/>
        </w:rPr>
        <w:t>er yıl 14 milyon kişinin yakalandığı ve 8,2 milyon kişinin ölümüne sebep olan kanser; yaş, cinsiyet, dil, din, ırk ayırımı yapmaksızın tüm insanları etkilemektedir.</w:t>
      </w:r>
      <w:r w:rsidR="005121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2156" w:rsidRPr="0077752D">
        <w:rPr>
          <w:rFonts w:ascii="Times New Roman" w:hAnsi="Times New Roman"/>
          <w:color w:val="000000"/>
          <w:sz w:val="24"/>
          <w:szCs w:val="24"/>
        </w:rPr>
        <w:t>Kanserde benzer seyir devam ettiği takdirde, 2030 yılında 22 milyon yeni vaka ortaya çıkması</w:t>
      </w:r>
      <w:r w:rsidR="00512156">
        <w:rPr>
          <w:rFonts w:ascii="Times New Roman" w:hAnsi="Times New Roman"/>
          <w:color w:val="000000"/>
          <w:sz w:val="24"/>
          <w:szCs w:val="24"/>
        </w:rPr>
        <w:t xml:space="preserve"> beklenmektedir. Y</w:t>
      </w:r>
      <w:r w:rsidR="00512156" w:rsidRPr="0077752D">
        <w:rPr>
          <w:rFonts w:ascii="Times New Roman" w:hAnsi="Times New Roman"/>
          <w:color w:val="000000"/>
          <w:sz w:val="24"/>
          <w:szCs w:val="24"/>
        </w:rPr>
        <w:t>apılan tahminler önümüzdeki yıllarda gelişecek olan kanser olgularının önemli bir bölümünün az gelişmiş ülkelerde ortaya çıkacağını göstermektedir.</w:t>
      </w:r>
      <w:r w:rsidR="005121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0153" w:rsidRPr="00C90153" w:rsidRDefault="00C90153" w:rsidP="00425507">
      <w:pPr>
        <w:pStyle w:val="ListeParagraf"/>
        <w:tabs>
          <w:tab w:val="left" w:pos="426"/>
          <w:tab w:val="left" w:pos="1530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90153">
        <w:rPr>
          <w:rFonts w:ascii="Times New Roman" w:hAnsi="Times New Roman"/>
          <w:b/>
          <w:color w:val="000000"/>
          <w:sz w:val="24"/>
          <w:szCs w:val="24"/>
        </w:rPr>
        <w:t>Türkiye’de Genel Durum</w:t>
      </w:r>
    </w:p>
    <w:p w:rsidR="00425507" w:rsidRPr="00425507" w:rsidRDefault="00512156" w:rsidP="00195D68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Ülkemizde ki en son resmi rakamlar değerlendirildiğinde</w:t>
      </w:r>
      <w:r w:rsidR="009759FF">
        <w:rPr>
          <w:rFonts w:ascii="Times New Roman" w:hAnsi="Times New Roman"/>
          <w:color w:val="000000"/>
          <w:sz w:val="24"/>
          <w:szCs w:val="24"/>
        </w:rPr>
        <w:t xml:space="preserve"> bir yıl içerisinde</w:t>
      </w:r>
      <w:r>
        <w:rPr>
          <w:rFonts w:ascii="Times New Roman" w:hAnsi="Times New Roman"/>
          <w:color w:val="000000"/>
          <w:sz w:val="24"/>
          <w:szCs w:val="24"/>
        </w:rPr>
        <w:t xml:space="preserve"> yaklaşık 96.200 erke</w:t>
      </w:r>
      <w:r w:rsidR="009759FF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ve </w:t>
      </w:r>
      <w:r w:rsidR="009759FF">
        <w:rPr>
          <w:rFonts w:ascii="Times New Roman" w:hAnsi="Times New Roman"/>
          <w:color w:val="000000"/>
          <w:sz w:val="24"/>
          <w:szCs w:val="24"/>
        </w:rPr>
        <w:t>67.200 kadın</w:t>
      </w:r>
      <w:r w:rsidR="00FE15DD">
        <w:rPr>
          <w:rFonts w:ascii="Times New Roman" w:hAnsi="Times New Roman"/>
          <w:color w:val="000000"/>
          <w:sz w:val="24"/>
          <w:szCs w:val="24"/>
        </w:rPr>
        <w:t>ın</w:t>
      </w:r>
      <w:r w:rsidR="009759FF">
        <w:rPr>
          <w:rFonts w:ascii="Times New Roman" w:hAnsi="Times New Roman"/>
          <w:color w:val="000000"/>
          <w:sz w:val="24"/>
          <w:szCs w:val="24"/>
        </w:rPr>
        <w:t xml:space="preserve"> kanser teşhisi </w:t>
      </w:r>
      <w:r w:rsidR="00FE15DD">
        <w:rPr>
          <w:rFonts w:ascii="Times New Roman" w:hAnsi="Times New Roman"/>
          <w:color w:val="000000"/>
          <w:sz w:val="24"/>
          <w:szCs w:val="24"/>
        </w:rPr>
        <w:t>aldığı tahmin edilmektedir</w:t>
      </w:r>
      <w:r w:rsidR="009759FF">
        <w:rPr>
          <w:rFonts w:ascii="Times New Roman" w:hAnsi="Times New Roman"/>
          <w:color w:val="000000"/>
          <w:sz w:val="24"/>
          <w:szCs w:val="24"/>
        </w:rPr>
        <w:t>.</w:t>
      </w:r>
      <w:r w:rsidR="00712157">
        <w:rPr>
          <w:rFonts w:ascii="Times New Roman" w:hAnsi="Times New Roman"/>
          <w:color w:val="000000"/>
          <w:sz w:val="24"/>
          <w:szCs w:val="24"/>
        </w:rPr>
        <w:t xml:space="preserve"> Son 5 yıl verileri değerlendirildiğinde</w:t>
      </w:r>
      <w:r w:rsidR="00DC651E">
        <w:rPr>
          <w:rFonts w:ascii="Times New Roman" w:hAnsi="Times New Roman"/>
          <w:color w:val="000000"/>
          <w:sz w:val="24"/>
          <w:szCs w:val="24"/>
        </w:rPr>
        <w:t>;</w:t>
      </w:r>
      <w:r w:rsidR="007121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651E" w:rsidRPr="007C32C6">
        <w:rPr>
          <w:rFonts w:ascii="Times New Roman" w:hAnsi="Times New Roman"/>
          <w:color w:val="000000"/>
          <w:sz w:val="24"/>
          <w:szCs w:val="24"/>
        </w:rPr>
        <w:t>kanser sıklığında herhangi bir artış ya da azalış olmadığı</w:t>
      </w:r>
      <w:r w:rsidR="00DC651E">
        <w:rPr>
          <w:rFonts w:ascii="Times New Roman" w:hAnsi="Times New Roman"/>
          <w:color w:val="000000"/>
          <w:sz w:val="24"/>
          <w:szCs w:val="24"/>
        </w:rPr>
        <w:t xml:space="preserve"> söylenebilir</w:t>
      </w:r>
      <w:r w:rsidR="00DA7C16">
        <w:rPr>
          <w:rFonts w:ascii="Times New Roman" w:hAnsi="Times New Roman"/>
          <w:color w:val="000000"/>
          <w:sz w:val="24"/>
          <w:szCs w:val="24"/>
        </w:rPr>
        <w:t xml:space="preserve"> (Şekil 1)</w:t>
      </w:r>
      <w:r w:rsidR="00DC651E">
        <w:rPr>
          <w:rFonts w:ascii="Times New Roman" w:hAnsi="Times New Roman"/>
          <w:color w:val="000000"/>
          <w:sz w:val="24"/>
          <w:szCs w:val="24"/>
        </w:rPr>
        <w:t>.</w:t>
      </w:r>
    </w:p>
    <w:p w:rsidR="00425507" w:rsidRPr="00FE15DD" w:rsidRDefault="00FE15DD" w:rsidP="00FE15DD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Türkiye’de yılda 16</w:t>
      </w:r>
      <w:r w:rsidR="009E103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E103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00 civarında yeni </w:t>
      </w:r>
      <w:r w:rsidR="009E103F">
        <w:rPr>
          <w:rFonts w:ascii="Times New Roman" w:hAnsi="Times New Roman"/>
          <w:color w:val="000000"/>
          <w:sz w:val="24"/>
          <w:szCs w:val="24"/>
        </w:rPr>
        <w:t xml:space="preserve">kanser vakası </w:t>
      </w:r>
      <w:r w:rsidR="00C90153">
        <w:rPr>
          <w:rFonts w:ascii="Times New Roman" w:hAnsi="Times New Roman"/>
          <w:color w:val="000000"/>
          <w:sz w:val="24"/>
          <w:szCs w:val="24"/>
        </w:rPr>
        <w:t>teşhis edilmektedir. Ü</w:t>
      </w:r>
      <w:r w:rsidRPr="00FE15DD">
        <w:rPr>
          <w:rFonts w:ascii="Times New Roman" w:hAnsi="Times New Roman"/>
          <w:color w:val="000000"/>
          <w:sz w:val="24"/>
          <w:szCs w:val="24"/>
        </w:rPr>
        <w:t xml:space="preserve">lkemizde bir günde yaklaşık </w:t>
      </w:r>
      <w:r w:rsidR="008867D5" w:rsidRPr="00FE15DD">
        <w:rPr>
          <w:rFonts w:ascii="Times New Roman" w:hAnsi="Times New Roman"/>
          <w:color w:val="000000"/>
          <w:sz w:val="24"/>
          <w:szCs w:val="24"/>
        </w:rPr>
        <w:t>450 kişi</w:t>
      </w:r>
      <w:r w:rsidRPr="00FE15DD">
        <w:rPr>
          <w:rFonts w:ascii="Times New Roman" w:hAnsi="Times New Roman"/>
          <w:color w:val="000000"/>
          <w:sz w:val="24"/>
          <w:szCs w:val="24"/>
        </w:rPr>
        <w:t>nin</w:t>
      </w:r>
      <w:r w:rsidR="008867D5" w:rsidRPr="00FE15DD">
        <w:rPr>
          <w:rFonts w:ascii="Times New Roman" w:hAnsi="Times New Roman"/>
          <w:color w:val="000000"/>
          <w:sz w:val="24"/>
          <w:szCs w:val="24"/>
        </w:rPr>
        <w:t xml:space="preserve"> kanser teşhisi </w:t>
      </w:r>
      <w:r w:rsidRPr="00FE15DD">
        <w:rPr>
          <w:rFonts w:ascii="Times New Roman" w:hAnsi="Times New Roman"/>
          <w:color w:val="000000"/>
          <w:sz w:val="24"/>
          <w:szCs w:val="24"/>
        </w:rPr>
        <w:t>aldığı söylenebilir.</w:t>
      </w:r>
    </w:p>
    <w:p w:rsidR="00425507" w:rsidRPr="00C90153" w:rsidRDefault="008867D5" w:rsidP="00195D68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5E82">
        <w:rPr>
          <w:rFonts w:ascii="Times New Roman" w:hAnsi="Times New Roman"/>
          <w:sz w:val="24"/>
          <w:szCs w:val="24"/>
        </w:rPr>
        <w:t xml:space="preserve">Türkiye’de görülmekte olan kanserin sıklığı </w:t>
      </w:r>
      <w:r w:rsidR="00B45E82" w:rsidRPr="00C72D8B">
        <w:rPr>
          <w:rFonts w:ascii="Times New Roman" w:hAnsi="Times New Roman"/>
          <w:sz w:val="24"/>
          <w:szCs w:val="24"/>
        </w:rPr>
        <w:t xml:space="preserve">Avrupa Birliği ülkeleri ve Amerika gibi gelişmişlik düzeyi yüksek olan ülkelere </w:t>
      </w:r>
      <w:r w:rsidR="00B45E82">
        <w:rPr>
          <w:rFonts w:ascii="Times New Roman" w:hAnsi="Times New Roman"/>
          <w:sz w:val="24"/>
          <w:szCs w:val="24"/>
        </w:rPr>
        <w:t>göre daha düşüktür.</w:t>
      </w:r>
    </w:p>
    <w:p w:rsidR="00C90153" w:rsidRPr="00C90153" w:rsidRDefault="00C90153" w:rsidP="00C90153">
      <w:pPr>
        <w:pStyle w:val="ListeParagraf"/>
        <w:tabs>
          <w:tab w:val="left" w:pos="426"/>
          <w:tab w:val="left" w:pos="1530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90153">
        <w:rPr>
          <w:rFonts w:ascii="Times New Roman" w:hAnsi="Times New Roman"/>
          <w:b/>
          <w:sz w:val="24"/>
          <w:szCs w:val="24"/>
        </w:rPr>
        <w:t>Erkekler</w:t>
      </w:r>
      <w:r>
        <w:rPr>
          <w:rFonts w:ascii="Times New Roman" w:hAnsi="Times New Roman"/>
          <w:b/>
          <w:sz w:val="24"/>
          <w:szCs w:val="24"/>
        </w:rPr>
        <w:t xml:space="preserve"> Genel Durum</w:t>
      </w:r>
    </w:p>
    <w:p w:rsidR="00425507" w:rsidRDefault="00B45E82" w:rsidP="00195D68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E46488">
        <w:rPr>
          <w:rFonts w:ascii="Times New Roman" w:hAnsi="Times New Roman"/>
        </w:rPr>
        <w:t xml:space="preserve">Erkeklerde en sık görülen kanserler akciğer ve prostat </w:t>
      </w:r>
      <w:r w:rsidR="00096D26">
        <w:rPr>
          <w:rFonts w:ascii="Times New Roman" w:hAnsi="Times New Roman"/>
        </w:rPr>
        <w:t>kanseri iken tütüne bağlı kanserler erkeklerde önemi önemini korumaya devam etmektedir (Şekil 2).</w:t>
      </w:r>
    </w:p>
    <w:p w:rsidR="00096D26" w:rsidRPr="00096D26" w:rsidRDefault="00096D26" w:rsidP="00096D26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E46488">
        <w:rPr>
          <w:rFonts w:ascii="Times New Roman" w:hAnsi="Times New Roman"/>
        </w:rPr>
        <w:t xml:space="preserve">Erkeklerde tütün ve tütün ürünlerine bağlı </w:t>
      </w:r>
      <w:r>
        <w:rPr>
          <w:rFonts w:ascii="Times New Roman" w:hAnsi="Times New Roman"/>
        </w:rPr>
        <w:t>olarak gelişen</w:t>
      </w:r>
      <w:r w:rsidRPr="001338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27.700 civarında vaka olduğu tahmin edilmektedir. Son 5 yıl verileri değerlendirildiğinde özellikle erkeklerde bu ürünlere bağlı olarak gelişen kanserlerin sıklığında </w:t>
      </w:r>
      <w:r w:rsidRPr="007C32C6">
        <w:rPr>
          <w:rFonts w:ascii="Times New Roman" w:hAnsi="Times New Roman"/>
        </w:rPr>
        <w:t>azalan bir seyir</w:t>
      </w:r>
      <w:r>
        <w:rPr>
          <w:rFonts w:ascii="Times New Roman" w:hAnsi="Times New Roman"/>
        </w:rPr>
        <w:t xml:space="preserve"> görülmektedir (Şekil </w:t>
      </w:r>
      <w:r w:rsidR="008172B2">
        <w:rPr>
          <w:rFonts w:ascii="Times New Roman" w:hAnsi="Times New Roman"/>
        </w:rPr>
        <w:t>3</w:t>
      </w:r>
      <w:r>
        <w:rPr>
          <w:rFonts w:ascii="Times New Roman" w:hAnsi="Times New Roman"/>
        </w:rPr>
        <w:t>).</w:t>
      </w:r>
      <w:r w:rsidRPr="00E4648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Ancak bu azalma seyri, son yıllarda artan tütün kullanımı ile gelecek yıllardaki kanser istatistiklerinde artış seyrine dönüşebilir.</w:t>
      </w:r>
    </w:p>
    <w:p w:rsidR="00C90153" w:rsidRPr="00C90153" w:rsidRDefault="00C90153" w:rsidP="00C90153">
      <w:pPr>
        <w:pStyle w:val="ListeParagraf"/>
        <w:tabs>
          <w:tab w:val="left" w:pos="426"/>
          <w:tab w:val="left" w:pos="1530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C90153">
        <w:rPr>
          <w:rFonts w:ascii="Times New Roman" w:hAnsi="Times New Roman"/>
          <w:b/>
        </w:rPr>
        <w:t>Kadınlar Genel Durum</w:t>
      </w:r>
    </w:p>
    <w:p w:rsidR="00896999" w:rsidRDefault="00896999" w:rsidP="00896999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E46488">
        <w:rPr>
          <w:rFonts w:ascii="Times New Roman" w:hAnsi="Times New Roman"/>
        </w:rPr>
        <w:t>Kadınlarda en sık görülen meme kanseri, her 4 kadın kanserinden birisi olmaya devam etmektedir</w:t>
      </w:r>
      <w:r>
        <w:rPr>
          <w:rFonts w:ascii="Times New Roman" w:hAnsi="Times New Roman"/>
        </w:rPr>
        <w:t xml:space="preserve"> (Şekil </w:t>
      </w:r>
      <w:r w:rsidR="00096D26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E46488">
        <w:rPr>
          <w:rFonts w:ascii="Times New Roman" w:hAnsi="Times New Roman"/>
        </w:rPr>
        <w:t xml:space="preserve">. </w:t>
      </w:r>
    </w:p>
    <w:p w:rsidR="00896999" w:rsidRDefault="00896999" w:rsidP="00896999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E46488">
        <w:rPr>
          <w:rFonts w:ascii="Times New Roman" w:hAnsi="Times New Roman"/>
        </w:rPr>
        <w:t xml:space="preserve">Bir yıl içinde </w:t>
      </w:r>
      <w:r>
        <w:rPr>
          <w:rFonts w:ascii="Times New Roman" w:hAnsi="Times New Roman"/>
        </w:rPr>
        <w:t>yaklaşık</w:t>
      </w:r>
      <w:r w:rsidRPr="00E464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17.000</w:t>
      </w:r>
      <w:r w:rsidRPr="00E46488">
        <w:rPr>
          <w:rFonts w:ascii="Times New Roman" w:hAnsi="Times New Roman"/>
        </w:rPr>
        <w:t xml:space="preserve"> kadına meme kanseri teşhisi konulmuştur.</w:t>
      </w:r>
    </w:p>
    <w:p w:rsidR="00425507" w:rsidRDefault="00A049B0" w:rsidP="00195D68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Obeziteye</w:t>
      </w:r>
      <w:proofErr w:type="spellEnd"/>
      <w:r>
        <w:rPr>
          <w:rFonts w:ascii="Times New Roman" w:hAnsi="Times New Roman"/>
        </w:rPr>
        <w:t xml:space="preserve"> bağlı olarak gelişen </w:t>
      </w:r>
      <w:proofErr w:type="spellStart"/>
      <w:r>
        <w:rPr>
          <w:rFonts w:ascii="Times New Roman" w:hAnsi="Times New Roman"/>
        </w:rPr>
        <w:t>kanserlerlerin</w:t>
      </w:r>
      <w:proofErr w:type="spellEnd"/>
      <w:r>
        <w:rPr>
          <w:rFonts w:ascii="Times New Roman" w:hAnsi="Times New Roman"/>
        </w:rPr>
        <w:t xml:space="preserve"> sayısı 6.000</w:t>
      </w:r>
      <w:r w:rsidRPr="00E91FD2">
        <w:rPr>
          <w:rFonts w:ascii="Times New Roman" w:hAnsi="Times New Roman"/>
        </w:rPr>
        <w:t xml:space="preserve"> civarında tahmin edilmektedir. </w:t>
      </w:r>
      <w:proofErr w:type="spellStart"/>
      <w:r w:rsidRPr="00E91FD2">
        <w:rPr>
          <w:rFonts w:ascii="Times New Roman" w:hAnsi="Times New Roman"/>
        </w:rPr>
        <w:t>Obezitenin</w:t>
      </w:r>
      <w:proofErr w:type="spellEnd"/>
      <w:r w:rsidRPr="00E91FD2">
        <w:rPr>
          <w:rFonts w:ascii="Times New Roman" w:hAnsi="Times New Roman"/>
        </w:rPr>
        <w:t xml:space="preserve"> etken olduğu kanserler daha çok kadınları etkilemektedir. </w:t>
      </w:r>
    </w:p>
    <w:p w:rsidR="00096D26" w:rsidRPr="00096D26" w:rsidRDefault="00096D26" w:rsidP="00096D26">
      <w:pPr>
        <w:pStyle w:val="ListeParagraf"/>
        <w:tabs>
          <w:tab w:val="left" w:pos="426"/>
          <w:tab w:val="left" w:pos="1530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096D26">
        <w:rPr>
          <w:rFonts w:ascii="Times New Roman" w:hAnsi="Times New Roman"/>
          <w:b/>
        </w:rPr>
        <w:t>Diğer</w:t>
      </w:r>
    </w:p>
    <w:p w:rsidR="00425507" w:rsidRDefault="001D5903" w:rsidP="00195D68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195D68">
        <w:rPr>
          <w:rFonts w:ascii="Times New Roman" w:hAnsi="Times New Roman"/>
        </w:rPr>
        <w:t>Hem erkeklerde hem de kadınlarda bağırsak (</w:t>
      </w:r>
      <w:proofErr w:type="spellStart"/>
      <w:r w:rsidRPr="00195D68">
        <w:rPr>
          <w:rFonts w:ascii="Times New Roman" w:hAnsi="Times New Roman"/>
        </w:rPr>
        <w:t>kolorektal</w:t>
      </w:r>
      <w:proofErr w:type="spellEnd"/>
      <w:r w:rsidRPr="00195D68">
        <w:rPr>
          <w:rFonts w:ascii="Times New Roman" w:hAnsi="Times New Roman"/>
        </w:rPr>
        <w:t xml:space="preserve">) kanseri üçüncü en sık görülen kanser türüdür. </w:t>
      </w:r>
    </w:p>
    <w:p w:rsidR="00A55A78" w:rsidRPr="00096D26" w:rsidRDefault="001D5903" w:rsidP="006D771B">
      <w:pPr>
        <w:pStyle w:val="ListeParagraf"/>
        <w:numPr>
          <w:ilvl w:val="0"/>
          <w:numId w:val="1"/>
        </w:numPr>
        <w:tabs>
          <w:tab w:val="left" w:pos="426"/>
          <w:tab w:val="left" w:pos="1530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195D68">
        <w:rPr>
          <w:rFonts w:ascii="Times New Roman" w:hAnsi="Times New Roman"/>
        </w:rPr>
        <w:t>Çocukluk çağı kanserlerinde ise lösemi en sık görülen kanser türüdür.</w:t>
      </w:r>
    </w:p>
    <w:p w:rsidR="00DA7C16" w:rsidRDefault="00DA7C16" w:rsidP="006D771B">
      <w:pPr>
        <w:tabs>
          <w:tab w:val="left" w:pos="426"/>
          <w:tab w:val="left" w:pos="1530"/>
        </w:tabs>
        <w:spacing w:line="36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252C0D3E" wp14:editId="2604D725">
            <wp:extent cx="4772025" cy="2990850"/>
            <wp:effectExtent l="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7C16" w:rsidRDefault="00DA7C16" w:rsidP="00DA7C16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Şekil 1. </w:t>
      </w:r>
      <w:r w:rsidRPr="00F40001">
        <w:rPr>
          <w:rFonts w:ascii="Times New Roman" w:hAnsi="Times New Roman"/>
        </w:rPr>
        <w:t xml:space="preserve">Tüm Kanserler Yaşa Standardize </w:t>
      </w:r>
      <w:proofErr w:type="spellStart"/>
      <w:r w:rsidRPr="00F40001">
        <w:rPr>
          <w:rFonts w:ascii="Times New Roman" w:hAnsi="Times New Roman"/>
        </w:rPr>
        <w:t>İnsidans</w:t>
      </w:r>
      <w:proofErr w:type="spellEnd"/>
      <w:r w:rsidRPr="00F40001">
        <w:rPr>
          <w:rFonts w:ascii="Times New Roman" w:hAnsi="Times New Roman"/>
        </w:rPr>
        <w:t xml:space="preserve"> Hızlarının Cinsiyete Göre 20</w:t>
      </w:r>
      <w:r>
        <w:rPr>
          <w:rFonts w:ascii="Times New Roman" w:hAnsi="Times New Roman"/>
        </w:rPr>
        <w:t>10</w:t>
      </w:r>
      <w:r w:rsidRPr="00F40001">
        <w:rPr>
          <w:rFonts w:ascii="Times New Roman" w:hAnsi="Times New Roman"/>
        </w:rPr>
        <w:t>-201</w:t>
      </w:r>
      <w:r>
        <w:rPr>
          <w:rFonts w:ascii="Times New Roman" w:hAnsi="Times New Roman"/>
        </w:rPr>
        <w:t xml:space="preserve">4 </w:t>
      </w:r>
      <w:r w:rsidRPr="00F40001">
        <w:rPr>
          <w:rFonts w:ascii="Times New Roman" w:hAnsi="Times New Roman"/>
        </w:rPr>
        <w:t>Yılları Arasındaki Dağılımı</w:t>
      </w:r>
      <w:r w:rsidR="00096D26">
        <w:rPr>
          <w:rFonts w:ascii="Times New Roman" w:hAnsi="Times New Roman"/>
        </w:rPr>
        <w:t xml:space="preserve"> (Her 100 bin kişide yıllık teşhis edilen kanser sayısı)</w:t>
      </w:r>
    </w:p>
    <w:p w:rsidR="00DA7C16" w:rsidRDefault="00DA7C16" w:rsidP="006D771B">
      <w:pPr>
        <w:tabs>
          <w:tab w:val="left" w:pos="426"/>
          <w:tab w:val="left" w:pos="1530"/>
        </w:tabs>
        <w:spacing w:line="360" w:lineRule="auto"/>
        <w:jc w:val="both"/>
        <w:rPr>
          <w:noProof/>
          <w:lang w:eastAsia="tr-TR"/>
        </w:rPr>
      </w:pPr>
    </w:p>
    <w:p w:rsidR="00DA7C16" w:rsidRDefault="00DA7C16" w:rsidP="006D771B">
      <w:pPr>
        <w:tabs>
          <w:tab w:val="left" w:pos="426"/>
          <w:tab w:val="left" w:pos="1530"/>
        </w:tabs>
        <w:spacing w:line="360" w:lineRule="auto"/>
        <w:jc w:val="both"/>
        <w:rPr>
          <w:noProof/>
          <w:lang w:eastAsia="tr-TR"/>
        </w:rPr>
      </w:pPr>
    </w:p>
    <w:p w:rsidR="00A55A78" w:rsidRDefault="00A55A78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eastAsia="tr-TR"/>
        </w:rPr>
        <w:drawing>
          <wp:inline distT="0" distB="0" distL="0" distR="0" wp14:anchorId="38EB4E8F" wp14:editId="263A7A2E">
            <wp:extent cx="4848225" cy="336232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1672" w:rsidRDefault="00DA7C16" w:rsidP="00D016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Şekil 2</w:t>
      </w:r>
      <w:r w:rsidR="00D01672">
        <w:rPr>
          <w:rFonts w:ascii="Times New Roman" w:hAnsi="Times New Roman"/>
          <w:b/>
        </w:rPr>
        <w:t>.</w:t>
      </w:r>
      <w:r w:rsidR="00D01672" w:rsidRPr="00D01672">
        <w:rPr>
          <w:rFonts w:ascii="Times New Roman" w:hAnsi="Times New Roman"/>
        </w:rPr>
        <w:t xml:space="preserve"> </w:t>
      </w:r>
      <w:r w:rsidR="00D01672" w:rsidRPr="00F40001">
        <w:rPr>
          <w:rFonts w:ascii="Times New Roman" w:hAnsi="Times New Roman"/>
        </w:rPr>
        <w:t>Erkeklerde</w:t>
      </w:r>
      <w:r w:rsidR="00D01672">
        <w:rPr>
          <w:rFonts w:ascii="Times New Roman" w:hAnsi="Times New Roman"/>
        </w:rPr>
        <w:t xml:space="preserve"> </w:t>
      </w:r>
      <w:r w:rsidR="00D01672" w:rsidRPr="00F40001">
        <w:rPr>
          <w:rFonts w:ascii="Times New Roman" w:hAnsi="Times New Roman"/>
        </w:rPr>
        <w:t>En Sık Görülen Kanserlerin</w:t>
      </w:r>
      <w:r w:rsidR="000D5280">
        <w:rPr>
          <w:rFonts w:ascii="Times New Roman" w:hAnsi="Times New Roman"/>
        </w:rPr>
        <w:t xml:space="preserve"> Toplam Sayısı ve</w:t>
      </w:r>
      <w:r w:rsidR="00D01672" w:rsidRPr="00F40001">
        <w:rPr>
          <w:rFonts w:ascii="Times New Roman" w:hAnsi="Times New Roman"/>
        </w:rPr>
        <w:t xml:space="preserve"> Yüzde Dağılımları </w:t>
      </w:r>
    </w:p>
    <w:p w:rsidR="00D307A1" w:rsidRDefault="00D307A1" w:rsidP="00D01672">
      <w:pPr>
        <w:rPr>
          <w:rFonts w:ascii="Times New Roman" w:hAnsi="Times New Roman"/>
        </w:rPr>
      </w:pPr>
    </w:p>
    <w:p w:rsidR="00896999" w:rsidRDefault="00896999" w:rsidP="000D5280">
      <w:pPr>
        <w:rPr>
          <w:rFonts w:ascii="Times New Roman" w:hAnsi="Times New Roman"/>
        </w:rPr>
      </w:pPr>
    </w:p>
    <w:p w:rsidR="00C42C82" w:rsidRDefault="00534CEE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eastAsia="tr-TR"/>
        </w:rPr>
        <w:drawing>
          <wp:inline distT="0" distB="0" distL="0" distR="0">
            <wp:extent cx="5448300" cy="2743200"/>
            <wp:effectExtent l="0" t="0" r="0" b="0"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4CEE" w:rsidRPr="00534CEE" w:rsidRDefault="00534CEE" w:rsidP="00534CEE">
      <w:pPr>
        <w:pStyle w:val="ikincibalk"/>
      </w:pPr>
      <w:r>
        <w:rPr>
          <w:rStyle w:val="ikincibalkChar"/>
          <w:b/>
          <w:lang w:val="tr-TR"/>
        </w:rPr>
        <w:t xml:space="preserve">Şekil </w:t>
      </w:r>
      <w:r w:rsidR="008172B2">
        <w:rPr>
          <w:rStyle w:val="ikincibalkChar"/>
          <w:b/>
          <w:lang w:val="tr-TR"/>
        </w:rPr>
        <w:t>3</w:t>
      </w:r>
      <w:r>
        <w:rPr>
          <w:rStyle w:val="ikincibalkChar"/>
          <w:b/>
          <w:lang w:val="tr-TR"/>
        </w:rPr>
        <w:t>.</w:t>
      </w:r>
      <w:r w:rsidRPr="00534CEE">
        <w:rPr>
          <w:rStyle w:val="ikincibalkChar"/>
        </w:rPr>
        <w:t>Tütünle İlişkili Kanserler</w:t>
      </w:r>
      <w:r w:rsidRPr="00534CEE">
        <w:t xml:space="preserve"> </w:t>
      </w:r>
      <w:r w:rsidRPr="00534CEE">
        <w:rPr>
          <w:rStyle w:val="ikincibalkChar"/>
        </w:rPr>
        <w:t>&amp; Akciğer Kanseri</w:t>
      </w:r>
    </w:p>
    <w:p w:rsidR="00534CEE" w:rsidRPr="000F0B53" w:rsidRDefault="00534CEE" w:rsidP="00534CEE">
      <w:pPr>
        <w:jc w:val="both"/>
        <w:rPr>
          <w:rFonts w:ascii="Times New Roman" w:hAnsi="Times New Roman"/>
          <w:sz w:val="20"/>
          <w:szCs w:val="20"/>
        </w:rPr>
      </w:pPr>
      <w:r w:rsidRPr="000F0B53">
        <w:rPr>
          <w:rFonts w:ascii="Times New Roman" w:hAnsi="Times New Roman"/>
          <w:sz w:val="20"/>
          <w:szCs w:val="20"/>
        </w:rPr>
        <w:t xml:space="preserve">Erkekler için, </w:t>
      </w:r>
      <w:proofErr w:type="spellStart"/>
      <w:proofErr w:type="gramStart"/>
      <w:r w:rsidRPr="000F0B53">
        <w:rPr>
          <w:rFonts w:ascii="Times New Roman" w:hAnsi="Times New Roman"/>
          <w:sz w:val="20"/>
          <w:szCs w:val="20"/>
        </w:rPr>
        <w:t>Ağız,farinks</w:t>
      </w:r>
      <w:proofErr w:type="spellEnd"/>
      <w:proofErr w:type="gramEnd"/>
      <w:r w:rsidRPr="000F0B5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B53">
        <w:rPr>
          <w:rFonts w:ascii="Times New Roman" w:hAnsi="Times New Roman"/>
          <w:sz w:val="20"/>
          <w:szCs w:val="20"/>
        </w:rPr>
        <w:t>özofagus</w:t>
      </w:r>
      <w:proofErr w:type="spellEnd"/>
      <w:r w:rsidRPr="000F0B5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B53">
        <w:rPr>
          <w:rFonts w:ascii="Times New Roman" w:hAnsi="Times New Roman"/>
          <w:sz w:val="20"/>
          <w:szCs w:val="20"/>
        </w:rPr>
        <w:t xml:space="preserve">mide, </w:t>
      </w:r>
      <w:proofErr w:type="spellStart"/>
      <w:r w:rsidRPr="000F0B53">
        <w:rPr>
          <w:rFonts w:ascii="Times New Roman" w:hAnsi="Times New Roman"/>
          <w:sz w:val="20"/>
          <w:szCs w:val="20"/>
        </w:rPr>
        <w:t>kolorektal</w:t>
      </w:r>
      <w:proofErr w:type="spellEnd"/>
      <w:r w:rsidRPr="000F0B53">
        <w:rPr>
          <w:rFonts w:ascii="Times New Roman" w:hAnsi="Times New Roman"/>
          <w:sz w:val="20"/>
          <w:szCs w:val="20"/>
        </w:rPr>
        <w:t xml:space="preserve">, karaciğer, pankreas, </w:t>
      </w:r>
      <w:proofErr w:type="spellStart"/>
      <w:r w:rsidRPr="000F0B53">
        <w:rPr>
          <w:rFonts w:ascii="Times New Roman" w:hAnsi="Times New Roman"/>
          <w:sz w:val="20"/>
          <w:szCs w:val="20"/>
        </w:rPr>
        <w:t>larinks</w:t>
      </w:r>
      <w:proofErr w:type="spellEnd"/>
      <w:r w:rsidRPr="000F0B53">
        <w:rPr>
          <w:rFonts w:ascii="Times New Roman" w:hAnsi="Times New Roman"/>
          <w:sz w:val="20"/>
          <w:szCs w:val="20"/>
        </w:rPr>
        <w:t>, akciğer, böbrek;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0B53">
        <w:rPr>
          <w:rFonts w:ascii="Times New Roman" w:hAnsi="Times New Roman"/>
          <w:sz w:val="20"/>
          <w:szCs w:val="20"/>
        </w:rPr>
        <w:t xml:space="preserve">Kadınlar için </w:t>
      </w:r>
      <w:proofErr w:type="spellStart"/>
      <w:r w:rsidRPr="000F0B53">
        <w:rPr>
          <w:rFonts w:ascii="Times New Roman" w:hAnsi="Times New Roman"/>
          <w:sz w:val="20"/>
          <w:szCs w:val="20"/>
        </w:rPr>
        <w:t>Ağız,farinks</w:t>
      </w:r>
      <w:proofErr w:type="spellEnd"/>
      <w:r w:rsidRPr="000F0B5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B53">
        <w:rPr>
          <w:rFonts w:ascii="Times New Roman" w:hAnsi="Times New Roman"/>
          <w:sz w:val="20"/>
          <w:szCs w:val="20"/>
        </w:rPr>
        <w:t>özofagus,mide</w:t>
      </w:r>
      <w:proofErr w:type="spellEnd"/>
      <w:r w:rsidRPr="000F0B5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B53">
        <w:rPr>
          <w:rFonts w:ascii="Times New Roman" w:hAnsi="Times New Roman"/>
          <w:sz w:val="20"/>
          <w:szCs w:val="20"/>
        </w:rPr>
        <w:t>kolorektal</w:t>
      </w:r>
      <w:proofErr w:type="spellEnd"/>
      <w:r w:rsidRPr="000F0B53">
        <w:rPr>
          <w:rFonts w:ascii="Times New Roman" w:hAnsi="Times New Roman"/>
          <w:sz w:val="20"/>
          <w:szCs w:val="20"/>
        </w:rPr>
        <w:t xml:space="preserve">, karaciğer, pankreas, </w:t>
      </w:r>
      <w:proofErr w:type="spellStart"/>
      <w:r w:rsidRPr="000F0B53">
        <w:rPr>
          <w:rFonts w:ascii="Times New Roman" w:hAnsi="Times New Roman"/>
          <w:sz w:val="20"/>
          <w:szCs w:val="20"/>
        </w:rPr>
        <w:t>larinks</w:t>
      </w:r>
      <w:proofErr w:type="spellEnd"/>
      <w:r w:rsidRPr="000F0B53">
        <w:rPr>
          <w:rFonts w:ascii="Times New Roman" w:hAnsi="Times New Roman"/>
          <w:sz w:val="20"/>
          <w:szCs w:val="20"/>
        </w:rPr>
        <w:t xml:space="preserve">, akciğer, </w:t>
      </w:r>
      <w:proofErr w:type="spellStart"/>
      <w:r w:rsidRPr="000F0B53">
        <w:rPr>
          <w:rFonts w:ascii="Times New Roman" w:hAnsi="Times New Roman"/>
          <w:sz w:val="20"/>
          <w:szCs w:val="20"/>
        </w:rPr>
        <w:t>serviks</w:t>
      </w:r>
      <w:proofErr w:type="spellEnd"/>
      <w:r w:rsidRPr="000F0B5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F0B53">
        <w:rPr>
          <w:rFonts w:ascii="Times New Roman" w:hAnsi="Times New Roman"/>
          <w:sz w:val="20"/>
          <w:szCs w:val="20"/>
        </w:rPr>
        <w:t>over</w:t>
      </w:r>
      <w:proofErr w:type="spellEnd"/>
      <w:r w:rsidRPr="000F0B53">
        <w:rPr>
          <w:rFonts w:ascii="Times New Roman" w:hAnsi="Times New Roman"/>
          <w:sz w:val="20"/>
          <w:szCs w:val="20"/>
        </w:rPr>
        <w:t xml:space="preserve">, böbrek, mesane, lösemi </w:t>
      </w:r>
    </w:p>
    <w:p w:rsidR="007C32C6" w:rsidRDefault="008172B2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eastAsia="tr-TR"/>
        </w:rPr>
        <w:drawing>
          <wp:inline distT="0" distB="0" distL="0" distR="0" wp14:anchorId="0B1A5C3A" wp14:editId="0D50D053">
            <wp:extent cx="4846320" cy="3364992"/>
            <wp:effectExtent l="0" t="0" r="0" b="698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72B2" w:rsidRDefault="008172B2" w:rsidP="008172B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Şekil 4.</w:t>
      </w:r>
      <w:r w:rsidRPr="00D01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Kadınlarda </w:t>
      </w:r>
      <w:r w:rsidRPr="00F40001">
        <w:rPr>
          <w:rFonts w:ascii="Times New Roman" w:hAnsi="Times New Roman"/>
        </w:rPr>
        <w:t>En Sık Görülen Kanserlerin</w:t>
      </w:r>
      <w:r>
        <w:rPr>
          <w:rFonts w:ascii="Times New Roman" w:hAnsi="Times New Roman"/>
        </w:rPr>
        <w:t xml:space="preserve"> Toplam Sayısı ve</w:t>
      </w:r>
      <w:r w:rsidRPr="00F40001">
        <w:rPr>
          <w:rFonts w:ascii="Times New Roman" w:hAnsi="Times New Roman"/>
        </w:rPr>
        <w:t xml:space="preserve"> Yüzde Dağılımları</w:t>
      </w:r>
    </w:p>
    <w:p w:rsidR="007C32C6" w:rsidRDefault="007C32C6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</w:p>
    <w:p w:rsidR="008172B2" w:rsidRDefault="008172B2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</w:p>
    <w:p w:rsidR="008172B2" w:rsidRDefault="008172B2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Kanser Ölümleri (TÜİK)</w:t>
      </w:r>
    </w:p>
    <w:p w:rsidR="008172B2" w:rsidRDefault="008172B2" w:rsidP="0030657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657B">
        <w:rPr>
          <w:rFonts w:ascii="Times New Roman" w:hAnsi="Times New Roman" w:cs="Times New Roman"/>
          <w:color w:val="000000"/>
          <w:shd w:val="clear" w:color="auto" w:fill="FFFFFF"/>
        </w:rPr>
        <w:t>Ölüm nedeni istatistikleri incelendiğinde; kanser tüm ölümlerin yaklaşık %20 civarını oluşturmaktadır</w:t>
      </w:r>
      <w:r w:rsidR="0030657B" w:rsidRPr="0030657B">
        <w:rPr>
          <w:rFonts w:ascii="Times New Roman" w:hAnsi="Times New Roman" w:cs="Times New Roman"/>
          <w:color w:val="000000"/>
          <w:shd w:val="clear" w:color="auto" w:fill="FFFFFF"/>
        </w:rPr>
        <w:t xml:space="preserve"> (Şekil 5)</w:t>
      </w:r>
      <w:r w:rsidRPr="0030657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0657B">
        <w:rPr>
          <w:rFonts w:ascii="Times New Roman" w:hAnsi="Times New Roman" w:cs="Times New Roman"/>
          <w:color w:val="000000"/>
          <w:shd w:val="clear" w:color="auto" w:fill="FFFFFF"/>
        </w:rPr>
        <w:t xml:space="preserve">Kanser, </w:t>
      </w:r>
      <w:r w:rsidR="0030657B" w:rsidRPr="0030657B">
        <w:rPr>
          <w:rFonts w:ascii="Times New Roman" w:hAnsi="Times New Roman" w:cs="Times New Roman"/>
          <w:color w:val="000000"/>
          <w:shd w:val="clear" w:color="auto" w:fill="FFFFFF"/>
        </w:rPr>
        <w:t>2015 yılı</w:t>
      </w:r>
      <w:r w:rsidRPr="0030657B">
        <w:rPr>
          <w:rFonts w:ascii="Times New Roman" w:hAnsi="Times New Roman" w:cs="Times New Roman"/>
          <w:color w:val="000000"/>
          <w:shd w:val="clear" w:color="auto" w:fill="FFFFFF"/>
        </w:rPr>
        <w:t xml:space="preserve"> içerisinde </w:t>
      </w:r>
      <w:r w:rsidR="0030657B" w:rsidRPr="0030657B">
        <w:rPr>
          <w:rFonts w:ascii="Times New Roman" w:hAnsi="Times New Roman" w:cs="Times New Roman"/>
          <w:color w:val="000000"/>
          <w:shd w:val="clear" w:color="auto" w:fill="FFFFFF"/>
        </w:rPr>
        <w:t>49.946 erkek, 27.022 kadının ölümüne neden olmuştur.</w:t>
      </w:r>
      <w:r w:rsidR="0030657B">
        <w:rPr>
          <w:rFonts w:ascii="Times New Roman" w:hAnsi="Times New Roman" w:cs="Times New Roman"/>
          <w:color w:val="000000"/>
          <w:shd w:val="clear" w:color="auto" w:fill="FFFFFF"/>
        </w:rPr>
        <w:t xml:space="preserve"> Gırtlak, soluk borusu, </w:t>
      </w:r>
      <w:r w:rsidR="0030657B" w:rsidRPr="0030657B">
        <w:rPr>
          <w:rFonts w:ascii="Times New Roman" w:hAnsi="Times New Roman" w:cs="Times New Roman"/>
          <w:color w:val="000000"/>
          <w:shd w:val="clear" w:color="auto" w:fill="FFFFFF"/>
        </w:rPr>
        <w:t xml:space="preserve"> bronş </w:t>
      </w:r>
      <w:r w:rsidR="0030657B">
        <w:rPr>
          <w:rFonts w:ascii="Times New Roman" w:hAnsi="Times New Roman" w:cs="Times New Roman"/>
          <w:color w:val="000000"/>
          <w:shd w:val="clear" w:color="auto" w:fill="FFFFFF"/>
        </w:rPr>
        <w:t xml:space="preserve">ve </w:t>
      </w:r>
      <w:r w:rsidR="0030657B" w:rsidRPr="0030657B">
        <w:rPr>
          <w:rFonts w:ascii="Times New Roman" w:hAnsi="Times New Roman" w:cs="Times New Roman"/>
          <w:color w:val="000000"/>
          <w:shd w:val="clear" w:color="auto" w:fill="FFFFFF"/>
        </w:rPr>
        <w:t xml:space="preserve">akciğerin kötü huylu tümörü erkeklerde </w:t>
      </w:r>
      <w:r w:rsidR="0030657B">
        <w:rPr>
          <w:rFonts w:ascii="Times New Roman" w:hAnsi="Times New Roman" w:cs="Times New Roman"/>
          <w:color w:val="000000"/>
          <w:shd w:val="clear" w:color="auto" w:fill="FFFFFF"/>
        </w:rPr>
        <w:t xml:space="preserve">20.388 kişi ile </w:t>
      </w:r>
      <w:r w:rsidR="0030657B" w:rsidRPr="0030657B">
        <w:rPr>
          <w:rFonts w:ascii="Times New Roman" w:hAnsi="Times New Roman" w:cs="Times New Roman"/>
          <w:color w:val="000000"/>
          <w:shd w:val="clear" w:color="auto" w:fill="FFFFFF"/>
        </w:rPr>
        <w:t>en fazla ölüme neden ol</w:t>
      </w:r>
      <w:r w:rsidR="0030657B">
        <w:rPr>
          <w:rFonts w:ascii="Times New Roman" w:hAnsi="Times New Roman" w:cs="Times New Roman"/>
          <w:color w:val="000000"/>
          <w:shd w:val="clear" w:color="auto" w:fill="FFFFFF"/>
        </w:rPr>
        <w:t>urken, k</w:t>
      </w:r>
      <w:r w:rsidR="0030657B" w:rsidRPr="0030657B">
        <w:rPr>
          <w:rFonts w:ascii="Times New Roman" w:hAnsi="Times New Roman" w:cs="Times New Roman"/>
          <w:color w:val="000000"/>
          <w:shd w:val="clear" w:color="auto" w:fill="FFFFFF"/>
        </w:rPr>
        <w:t xml:space="preserve">adınlarda ise </w:t>
      </w:r>
      <w:r w:rsidR="0030657B">
        <w:rPr>
          <w:rFonts w:ascii="Times New Roman" w:hAnsi="Times New Roman" w:cs="Times New Roman"/>
          <w:color w:val="000000"/>
          <w:shd w:val="clear" w:color="auto" w:fill="FFFFFF"/>
        </w:rPr>
        <w:t xml:space="preserve">meme kanseri 3.853 kişi ile </w:t>
      </w:r>
      <w:r w:rsidR="0030657B" w:rsidRPr="0030657B">
        <w:rPr>
          <w:rFonts w:ascii="Times New Roman" w:hAnsi="Times New Roman" w:cs="Times New Roman"/>
          <w:color w:val="000000"/>
          <w:shd w:val="clear" w:color="auto" w:fill="FFFFFF"/>
        </w:rPr>
        <w:t xml:space="preserve">en yüksek </w:t>
      </w:r>
      <w:r w:rsidR="0030657B">
        <w:rPr>
          <w:rFonts w:ascii="Times New Roman" w:hAnsi="Times New Roman" w:cs="Times New Roman"/>
          <w:color w:val="000000"/>
          <w:shd w:val="clear" w:color="auto" w:fill="FFFFFF"/>
        </w:rPr>
        <w:t>sayıda ölüme neden olmuştur.</w:t>
      </w:r>
    </w:p>
    <w:p w:rsidR="0030657B" w:rsidRPr="0030657B" w:rsidRDefault="0030657B" w:rsidP="0030657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172B2" w:rsidRDefault="008172B2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  <w:r w:rsidRPr="008172B2">
        <w:rPr>
          <w:rFonts w:ascii="Times New Roman" w:hAnsi="Times New Roman"/>
          <w:b/>
          <w:noProof/>
          <w:lang w:eastAsia="tr-TR"/>
        </w:rPr>
        <w:drawing>
          <wp:inline distT="0" distB="0" distL="0" distR="0" wp14:anchorId="110AC863" wp14:editId="65B62DC4">
            <wp:extent cx="4714875" cy="3105150"/>
            <wp:effectExtent l="38100" t="38100" r="47625" b="3810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72B2" w:rsidRPr="008172B2" w:rsidRDefault="008172B2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Şekil 5. </w:t>
      </w:r>
      <w:r w:rsidRPr="008172B2">
        <w:rPr>
          <w:rFonts w:ascii="Times New Roman" w:hAnsi="Times New Roman"/>
        </w:rPr>
        <w:t>Ölüm nedeni istatistikleri (2011-2015)</w:t>
      </w:r>
    </w:p>
    <w:p w:rsidR="008172B2" w:rsidRDefault="008172B2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</w:p>
    <w:p w:rsidR="006D771B" w:rsidRPr="006D771B" w:rsidRDefault="006D771B" w:rsidP="006D771B">
      <w:pPr>
        <w:tabs>
          <w:tab w:val="left" w:pos="426"/>
          <w:tab w:val="left" w:pos="1530"/>
        </w:tabs>
        <w:spacing w:line="360" w:lineRule="auto"/>
        <w:jc w:val="both"/>
        <w:rPr>
          <w:rFonts w:ascii="Times New Roman" w:hAnsi="Times New Roman"/>
          <w:b/>
        </w:rPr>
      </w:pPr>
      <w:r w:rsidRPr="006D771B">
        <w:rPr>
          <w:rFonts w:ascii="Times New Roman" w:hAnsi="Times New Roman"/>
          <w:b/>
        </w:rPr>
        <w:t>Kanser Taramaları</w:t>
      </w:r>
    </w:p>
    <w:p w:rsidR="00CF39ED" w:rsidRDefault="005952AA" w:rsidP="006D77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Dünya Sağlık Örgütü’nün </w:t>
      </w:r>
      <w:r w:rsidR="009107AE">
        <w:rPr>
          <w:rFonts w:ascii="Times New Roman" w:hAnsi="Times New Roman"/>
          <w:sz w:val="24"/>
          <w:szCs w:val="24"/>
        </w:rPr>
        <w:t xml:space="preserve">önerisi </w:t>
      </w:r>
      <w:r w:rsidR="00BF6959"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z w:val="24"/>
          <w:szCs w:val="24"/>
        </w:rPr>
        <w:t xml:space="preserve"> birlikte</w:t>
      </w:r>
      <w:r w:rsidR="009107AE">
        <w:rPr>
          <w:rFonts w:ascii="Times New Roman" w:hAnsi="Times New Roman"/>
          <w:sz w:val="24"/>
          <w:szCs w:val="24"/>
        </w:rPr>
        <w:t xml:space="preserve"> ülkemizde de ilk sıralarda yer alan</w:t>
      </w:r>
      <w:r w:rsidR="006D771B" w:rsidRPr="004B4778">
        <w:rPr>
          <w:rFonts w:ascii="Times New Roman" w:hAnsi="Times New Roman"/>
          <w:sz w:val="24"/>
          <w:szCs w:val="24"/>
        </w:rPr>
        <w:t xml:space="preserve"> meme, </w:t>
      </w:r>
      <w:r w:rsidR="009107AE">
        <w:rPr>
          <w:rFonts w:ascii="Times New Roman" w:hAnsi="Times New Roman"/>
          <w:sz w:val="24"/>
          <w:szCs w:val="24"/>
        </w:rPr>
        <w:t>rahim ağzı (</w:t>
      </w:r>
      <w:proofErr w:type="spellStart"/>
      <w:r w:rsidR="006D771B" w:rsidRPr="004B4778">
        <w:rPr>
          <w:rFonts w:ascii="Times New Roman" w:hAnsi="Times New Roman"/>
          <w:sz w:val="24"/>
          <w:szCs w:val="24"/>
        </w:rPr>
        <w:t>serviks</w:t>
      </w:r>
      <w:proofErr w:type="spellEnd"/>
      <w:r w:rsidR="009107AE">
        <w:rPr>
          <w:rFonts w:ascii="Times New Roman" w:hAnsi="Times New Roman"/>
          <w:sz w:val="24"/>
          <w:szCs w:val="24"/>
        </w:rPr>
        <w:t>)</w:t>
      </w:r>
      <w:r w:rsidR="006D771B" w:rsidRPr="004B4778">
        <w:rPr>
          <w:rFonts w:ascii="Times New Roman" w:hAnsi="Times New Roman"/>
          <w:sz w:val="24"/>
          <w:szCs w:val="24"/>
        </w:rPr>
        <w:t xml:space="preserve">, </w:t>
      </w:r>
      <w:r w:rsidR="009107AE">
        <w:rPr>
          <w:rFonts w:ascii="Times New Roman" w:hAnsi="Times New Roman"/>
          <w:sz w:val="24"/>
          <w:szCs w:val="24"/>
        </w:rPr>
        <w:t>bağırsak (</w:t>
      </w:r>
      <w:proofErr w:type="spellStart"/>
      <w:r w:rsidR="006D771B" w:rsidRPr="004B4778">
        <w:rPr>
          <w:rFonts w:ascii="Times New Roman" w:hAnsi="Times New Roman"/>
          <w:sz w:val="24"/>
          <w:szCs w:val="24"/>
        </w:rPr>
        <w:t>kolorektal</w:t>
      </w:r>
      <w:proofErr w:type="spellEnd"/>
      <w:r w:rsidR="009107AE">
        <w:rPr>
          <w:rFonts w:ascii="Times New Roman" w:hAnsi="Times New Roman"/>
          <w:sz w:val="24"/>
          <w:szCs w:val="24"/>
        </w:rPr>
        <w:t>) kanserleri için toplum tabanlı tarama programları yürütülmektedir.</w:t>
      </w:r>
      <w:r w:rsidR="00283134">
        <w:rPr>
          <w:rFonts w:ascii="Times New Roman" w:hAnsi="Times New Roman"/>
          <w:sz w:val="24"/>
          <w:szCs w:val="24"/>
        </w:rPr>
        <w:t xml:space="preserve"> Tüm kadın kanserleri</w:t>
      </w:r>
      <w:r>
        <w:rPr>
          <w:rFonts w:ascii="Times New Roman" w:hAnsi="Times New Roman"/>
          <w:sz w:val="24"/>
          <w:szCs w:val="24"/>
        </w:rPr>
        <w:t xml:space="preserve"> vakaları</w:t>
      </w:r>
      <w:r w:rsidR="00283134">
        <w:rPr>
          <w:rFonts w:ascii="Times New Roman" w:hAnsi="Times New Roman"/>
          <w:sz w:val="24"/>
          <w:szCs w:val="24"/>
        </w:rPr>
        <w:t xml:space="preserve"> içerisinde</w:t>
      </w:r>
      <w:r w:rsidR="00CF39ED">
        <w:rPr>
          <w:rFonts w:ascii="Times New Roman" w:hAnsi="Times New Roman"/>
          <w:sz w:val="24"/>
          <w:szCs w:val="24"/>
        </w:rPr>
        <w:t>,</w:t>
      </w:r>
      <w:r w:rsidR="00283134">
        <w:rPr>
          <w:rFonts w:ascii="Times New Roman" w:hAnsi="Times New Roman"/>
          <w:sz w:val="24"/>
          <w:szCs w:val="24"/>
        </w:rPr>
        <w:t xml:space="preserve"> taranan kadın kanseri türlerinin payı %35’tir. Erkek kanserleri içinde ise bağırsak kanseri %10</w:t>
      </w:r>
      <w:r>
        <w:rPr>
          <w:rFonts w:ascii="Times New Roman" w:hAnsi="Times New Roman"/>
          <w:sz w:val="24"/>
          <w:szCs w:val="24"/>
        </w:rPr>
        <w:t xml:space="preserve"> civarında </w:t>
      </w:r>
      <w:r w:rsidR="00283134">
        <w:rPr>
          <w:rFonts w:ascii="Times New Roman" w:hAnsi="Times New Roman"/>
          <w:sz w:val="24"/>
          <w:szCs w:val="24"/>
        </w:rPr>
        <w:t xml:space="preserve">üçüncü sırada yer almaktadır. </w:t>
      </w:r>
    </w:p>
    <w:p w:rsidR="005952AA" w:rsidRDefault="005952AA" w:rsidP="00CF39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A7310" w:rsidRPr="00CF39ED">
        <w:rPr>
          <w:rFonts w:ascii="Times New Roman" w:hAnsi="Times New Roman"/>
          <w:sz w:val="24"/>
          <w:szCs w:val="24"/>
        </w:rPr>
        <w:t>Topl</w:t>
      </w:r>
      <w:r w:rsidR="00CF39ED">
        <w:rPr>
          <w:rFonts w:ascii="Times New Roman" w:hAnsi="Times New Roman"/>
          <w:sz w:val="24"/>
          <w:szCs w:val="24"/>
        </w:rPr>
        <w:t>um tabanlı kanser taramalarında</w:t>
      </w:r>
      <w:r w:rsidR="001A7310" w:rsidRPr="00CF39ED">
        <w:rPr>
          <w:rFonts w:ascii="Times New Roman" w:hAnsi="Times New Roman"/>
          <w:sz w:val="24"/>
          <w:szCs w:val="24"/>
        </w:rPr>
        <w:t>;</w:t>
      </w:r>
      <w:r w:rsidR="00CF39ED">
        <w:rPr>
          <w:rFonts w:ascii="Times New Roman" w:hAnsi="Times New Roman"/>
          <w:sz w:val="24"/>
          <w:szCs w:val="24"/>
        </w:rPr>
        <w:t xml:space="preserve"> </w:t>
      </w:r>
      <w:r w:rsidR="001A7310">
        <w:rPr>
          <w:rFonts w:ascii="Times New Roman" w:hAnsi="Times New Roman"/>
          <w:sz w:val="24"/>
          <w:szCs w:val="24"/>
        </w:rPr>
        <w:t xml:space="preserve">81 ilde </w:t>
      </w:r>
      <w:r w:rsidR="001A7310" w:rsidRPr="00CF39ED">
        <w:rPr>
          <w:rFonts w:ascii="Times New Roman" w:hAnsi="Times New Roman"/>
          <w:sz w:val="24"/>
          <w:szCs w:val="24"/>
        </w:rPr>
        <w:t xml:space="preserve">en az bir tane olmak üzere toplamda </w:t>
      </w:r>
      <w:r w:rsidR="00D44B5D">
        <w:rPr>
          <w:rFonts w:ascii="Times New Roman" w:hAnsi="Times New Roman"/>
          <w:sz w:val="24"/>
          <w:szCs w:val="24"/>
        </w:rPr>
        <w:t>28 adet mobil olmak üzere toplam 208</w:t>
      </w:r>
      <w:r w:rsidR="001A7310" w:rsidRPr="00CF39ED">
        <w:rPr>
          <w:rFonts w:ascii="Times New Roman" w:hAnsi="Times New Roman"/>
          <w:sz w:val="24"/>
          <w:szCs w:val="24"/>
        </w:rPr>
        <w:t xml:space="preserve"> KETEM</w:t>
      </w:r>
      <w:r w:rsidR="00CF39ED">
        <w:rPr>
          <w:rFonts w:ascii="Times New Roman" w:hAnsi="Times New Roman"/>
          <w:sz w:val="24"/>
          <w:szCs w:val="24"/>
        </w:rPr>
        <w:t xml:space="preserve"> </w:t>
      </w:r>
      <w:r w:rsidR="001A7310" w:rsidRPr="00CF39ED">
        <w:rPr>
          <w:rFonts w:ascii="Times New Roman" w:hAnsi="Times New Roman"/>
          <w:sz w:val="24"/>
          <w:szCs w:val="24"/>
        </w:rPr>
        <w:t xml:space="preserve">(Kanser Erken </w:t>
      </w:r>
      <w:r w:rsidR="00EB23DE" w:rsidRPr="00CF39ED">
        <w:rPr>
          <w:rFonts w:ascii="Times New Roman" w:hAnsi="Times New Roman"/>
          <w:sz w:val="24"/>
          <w:szCs w:val="24"/>
        </w:rPr>
        <w:t>Teşhis</w:t>
      </w:r>
      <w:r w:rsidR="001A7310" w:rsidRPr="00CF39ED">
        <w:rPr>
          <w:rFonts w:ascii="Times New Roman" w:hAnsi="Times New Roman"/>
          <w:sz w:val="24"/>
          <w:szCs w:val="24"/>
        </w:rPr>
        <w:t xml:space="preserve"> Tarama ve Eğitim Merkezi) bulunmaktadır.</w:t>
      </w:r>
      <w:r w:rsidR="00CF39ED">
        <w:rPr>
          <w:rFonts w:ascii="Times New Roman" w:hAnsi="Times New Roman"/>
          <w:sz w:val="24"/>
          <w:szCs w:val="24"/>
        </w:rPr>
        <w:t xml:space="preserve"> </w:t>
      </w:r>
      <w:r w:rsidR="001A7310" w:rsidRPr="00CF39ED">
        <w:rPr>
          <w:rFonts w:ascii="Times New Roman" w:hAnsi="Times New Roman"/>
          <w:sz w:val="24"/>
          <w:szCs w:val="24"/>
        </w:rPr>
        <w:t>Bunlara ek olarak son yıllarda TSM –AÇSAP ve Aile Hekimleri taramaları büyük destek vermektedirler.</w:t>
      </w:r>
      <w:r w:rsidR="00EA7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yılında; 2.017.128 kişi meme kanseri, 2.898.424 kişiye rahim ağzı kanseri, 1.708.025 kişi ise bağırsak kanseri tarama program</w:t>
      </w:r>
      <w:r w:rsidR="00712157">
        <w:rPr>
          <w:rFonts w:ascii="Times New Roman" w:hAnsi="Times New Roman"/>
          <w:sz w:val="24"/>
          <w:szCs w:val="24"/>
        </w:rPr>
        <w:t xml:space="preserve">larına </w:t>
      </w:r>
      <w:r w:rsidR="00D44B5D">
        <w:rPr>
          <w:rFonts w:ascii="Times New Roman" w:hAnsi="Times New Roman"/>
          <w:sz w:val="24"/>
          <w:szCs w:val="24"/>
        </w:rPr>
        <w:t>dâhil</w:t>
      </w:r>
      <w:r w:rsidR="00FB4340">
        <w:rPr>
          <w:rFonts w:ascii="Times New Roman" w:hAnsi="Times New Roman"/>
          <w:sz w:val="24"/>
          <w:szCs w:val="24"/>
        </w:rPr>
        <w:t xml:space="preserve"> olmuş, 2015 yılına göre artış ile tamamlanmıştır</w:t>
      </w:r>
      <w:r>
        <w:rPr>
          <w:rFonts w:ascii="Times New Roman" w:hAnsi="Times New Roman"/>
          <w:sz w:val="24"/>
          <w:szCs w:val="24"/>
        </w:rPr>
        <w:t>.</w:t>
      </w:r>
      <w:r w:rsidR="00341DBE">
        <w:rPr>
          <w:rFonts w:ascii="Times New Roman" w:hAnsi="Times New Roman"/>
          <w:sz w:val="24"/>
          <w:szCs w:val="24"/>
        </w:rPr>
        <w:t xml:space="preserve"> </w:t>
      </w:r>
      <w:r w:rsidR="00D44B5D">
        <w:rPr>
          <w:rFonts w:ascii="Times New Roman" w:hAnsi="Times New Roman"/>
          <w:sz w:val="24"/>
          <w:szCs w:val="24"/>
        </w:rPr>
        <w:t xml:space="preserve"> </w:t>
      </w:r>
    </w:p>
    <w:p w:rsidR="005952AA" w:rsidRDefault="005952AA" w:rsidP="00CF39ED">
      <w:pPr>
        <w:jc w:val="both"/>
        <w:rPr>
          <w:rFonts w:ascii="Times New Roman" w:hAnsi="Times New Roman"/>
          <w:sz w:val="24"/>
          <w:szCs w:val="24"/>
        </w:rPr>
      </w:pPr>
    </w:p>
    <w:sectPr w:rsidR="005952AA" w:rsidSect="004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BF6"/>
    <w:multiLevelType w:val="hybridMultilevel"/>
    <w:tmpl w:val="C65A1708"/>
    <w:lvl w:ilvl="0" w:tplc="E3EECE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406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C13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207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1C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A6B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0B1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EA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8D6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B7F"/>
    <w:multiLevelType w:val="hybridMultilevel"/>
    <w:tmpl w:val="DC1EFAA4"/>
    <w:lvl w:ilvl="0" w:tplc="041F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6"/>
    <w:rsid w:val="00096D26"/>
    <w:rsid w:val="000D5280"/>
    <w:rsid w:val="000F6939"/>
    <w:rsid w:val="00195D68"/>
    <w:rsid w:val="001A7310"/>
    <w:rsid w:val="001D5903"/>
    <w:rsid w:val="00283134"/>
    <w:rsid w:val="0030657B"/>
    <w:rsid w:val="00307B8D"/>
    <w:rsid w:val="00337EA7"/>
    <w:rsid w:val="00341DBE"/>
    <w:rsid w:val="00345416"/>
    <w:rsid w:val="0034571A"/>
    <w:rsid w:val="00425507"/>
    <w:rsid w:val="00482025"/>
    <w:rsid w:val="00495DF6"/>
    <w:rsid w:val="00512156"/>
    <w:rsid w:val="00534CEE"/>
    <w:rsid w:val="0056099A"/>
    <w:rsid w:val="005952AA"/>
    <w:rsid w:val="005E1239"/>
    <w:rsid w:val="006432B9"/>
    <w:rsid w:val="00645F5D"/>
    <w:rsid w:val="006D6501"/>
    <w:rsid w:val="006D771B"/>
    <w:rsid w:val="006F0351"/>
    <w:rsid w:val="00712157"/>
    <w:rsid w:val="007C2A86"/>
    <w:rsid w:val="007C32C6"/>
    <w:rsid w:val="007D0540"/>
    <w:rsid w:val="008172B2"/>
    <w:rsid w:val="00843AE7"/>
    <w:rsid w:val="0088107B"/>
    <w:rsid w:val="008867D5"/>
    <w:rsid w:val="00896999"/>
    <w:rsid w:val="008C6EAB"/>
    <w:rsid w:val="008E2DD5"/>
    <w:rsid w:val="009107AE"/>
    <w:rsid w:val="009759FF"/>
    <w:rsid w:val="00980BE0"/>
    <w:rsid w:val="009E103F"/>
    <w:rsid w:val="00A049B0"/>
    <w:rsid w:val="00A55A78"/>
    <w:rsid w:val="00B45E82"/>
    <w:rsid w:val="00B95293"/>
    <w:rsid w:val="00BF6959"/>
    <w:rsid w:val="00C42C82"/>
    <w:rsid w:val="00C90153"/>
    <w:rsid w:val="00CB137F"/>
    <w:rsid w:val="00CD53DF"/>
    <w:rsid w:val="00CF39ED"/>
    <w:rsid w:val="00D01672"/>
    <w:rsid w:val="00D307A1"/>
    <w:rsid w:val="00D44B5D"/>
    <w:rsid w:val="00D667E9"/>
    <w:rsid w:val="00DA6BF7"/>
    <w:rsid w:val="00DA7C16"/>
    <w:rsid w:val="00DC651E"/>
    <w:rsid w:val="00DE1F6E"/>
    <w:rsid w:val="00E02D04"/>
    <w:rsid w:val="00E922A7"/>
    <w:rsid w:val="00EA225F"/>
    <w:rsid w:val="00EA56A5"/>
    <w:rsid w:val="00EA71E7"/>
    <w:rsid w:val="00EB23DE"/>
    <w:rsid w:val="00F24C20"/>
    <w:rsid w:val="00F81551"/>
    <w:rsid w:val="00FB4340"/>
    <w:rsid w:val="00FD66BE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7993E-0F12-4D75-A750-21FEA9F6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5E82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6A5"/>
    <w:rPr>
      <w:rFonts w:ascii="Tahoma" w:hAnsi="Tahoma" w:cs="Tahoma"/>
      <w:sz w:val="16"/>
      <w:szCs w:val="16"/>
    </w:rPr>
  </w:style>
  <w:style w:type="paragraph" w:customStyle="1" w:styleId="ikincibalk">
    <w:name w:val="ikinci başlık"/>
    <w:basedOn w:val="Normal"/>
    <w:link w:val="ikincibalkChar"/>
    <w:qFormat/>
    <w:rsid w:val="00534CEE"/>
    <w:rPr>
      <w:rFonts w:ascii="Times New Roman" w:eastAsia="Calibri" w:hAnsi="Times New Roman" w:cs="Times New Roman"/>
      <w:b/>
      <w:lang w:val="x-none" w:eastAsia="x-none"/>
    </w:rPr>
  </w:style>
  <w:style w:type="character" w:customStyle="1" w:styleId="ikincibalkChar">
    <w:name w:val="ikinci başlık Char"/>
    <w:link w:val="ikincibalk"/>
    <w:rsid w:val="00534CEE"/>
    <w:rPr>
      <w:rFonts w:ascii="Times New Roman" w:eastAsia="Calibri" w:hAnsi="Times New Roman" w:cs="Times New Roman"/>
      <w:b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3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83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bim2059\Payla&#351;&#305;m\2014\2014-13%20il\Rapor%20&#199;al&#305;&#351;ma\2014%20SEMRA\2014%20semra%20&#231;al&#305;&#351;m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bayraktaroglu1\Desktop\4%20&#351;ubat%20y&#252;zdeler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bim2059\Payla&#351;&#305;m\2014\SEL&#304;N\tablolar%20selin2014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.bayraktaroglu1\Desktop\4%20&#351;ubat%20y&#252;zdeler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elin\Desktop\t&#252;ik%20&#246;l&#252;m%20nedeni%20da&#287;&#305;l&#305;m&#305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708573928258998"/>
          <c:y val="0.14399314668999749"/>
          <c:w val="0.77713648293963267"/>
          <c:h val="0.74002697579469234"/>
        </c:manualLayout>
      </c:layout>
      <c:lineChart>
        <c:grouping val="standard"/>
        <c:varyColors val="0"/>
        <c:ser>
          <c:idx val="0"/>
          <c:order val="0"/>
          <c:tx>
            <c:strRef>
              <c:f>'GENEL ORTALAMA'!$C$4</c:f>
              <c:strCache>
                <c:ptCount val="1"/>
                <c:pt idx="0">
                  <c:v>ERKEK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'GENEL ORTALAMA'!$J$3:$N$3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'GENEL ORTALAMA'!$J$4:$N$4</c:f>
              <c:numCache>
                <c:formatCode>General</c:formatCode>
                <c:ptCount val="5"/>
                <c:pt idx="0">
                  <c:v>261.39999999999998</c:v>
                </c:pt>
                <c:pt idx="1">
                  <c:v>275</c:v>
                </c:pt>
                <c:pt idx="2">
                  <c:v>277.7</c:v>
                </c:pt>
                <c:pt idx="3">
                  <c:v>267.89999999999998</c:v>
                </c:pt>
                <c:pt idx="4">
                  <c:v>246.8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'GENEL ORTALAMA'!$C$5</c:f>
              <c:strCache>
                <c:ptCount val="1"/>
                <c:pt idx="0">
                  <c:v>KADIN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'GENEL ORTALAMA'!$J$3:$N$3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'GENEL ORTALAMA'!$J$5:$N$5</c:f>
              <c:numCache>
                <c:formatCode>General</c:formatCode>
                <c:ptCount val="5"/>
                <c:pt idx="0">
                  <c:v>168.7</c:v>
                </c:pt>
                <c:pt idx="1">
                  <c:v>182.2</c:v>
                </c:pt>
                <c:pt idx="2">
                  <c:v>188.2</c:v>
                </c:pt>
                <c:pt idx="3">
                  <c:v>186.5</c:v>
                </c:pt>
                <c:pt idx="4">
                  <c:v>173.6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5973416"/>
        <c:axId val="395980080"/>
      </c:lineChart>
      <c:catAx>
        <c:axId val="395973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5980080"/>
        <c:crosses val="autoZero"/>
        <c:auto val="1"/>
        <c:lblAlgn val="ctr"/>
        <c:lblOffset val="100"/>
        <c:noMultiLvlLbl val="0"/>
      </c:catAx>
      <c:valAx>
        <c:axId val="395980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5973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Sayfa1!$L$6</c:f>
              <c:strCache>
                <c:ptCount val="1"/>
                <c:pt idx="0">
                  <c:v>erkek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en-US" sz="1050" b="1">
                        <a:solidFill>
                          <a:schemeClr val="bg1"/>
                        </a:solidFill>
                      </a:rPr>
                      <a:t>20.467</a:t>
                    </a:r>
                  </a:p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en-US" sz="1050" b="1">
                        <a:solidFill>
                          <a:schemeClr val="bg1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chemeClr val="bg1"/>
                        </a:solidFill>
                        <a:effectLst/>
                      </a:rPr>
                      <a:t>%</a:t>
                    </a:r>
                    <a:r>
                      <a:rPr lang="en-US" sz="1050" b="1">
                        <a:solidFill>
                          <a:schemeClr val="bg1"/>
                        </a:solidFill>
                      </a:rPr>
                      <a:t>21)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  <a:latin typeface="+mn-lt"/>
                      </a:rPr>
                      <a:t>12.826</a:t>
                    </a:r>
                  </a:p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  <a:latin typeface="+mn-lt"/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sz="1050" b="1">
                        <a:solidFill>
                          <a:sysClr val="windowText" lastClr="000000"/>
                        </a:solidFill>
                        <a:latin typeface="+mn-lt"/>
                      </a:rPr>
                      <a:t>13)</a:t>
                    </a:r>
                    <a:endParaRPr lang="en-US" sz="1050" b="1">
                      <a:latin typeface="+mn-lt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8.888</a:t>
                    </a:r>
                  </a:p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9)</a:t>
                    </a:r>
                    <a:endParaRPr lang="en-US" sz="105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7.524</a:t>
                    </a:r>
                  </a:p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8)</a:t>
                    </a:r>
                    <a:endParaRPr lang="en-US" sz="105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5.575</a:t>
                    </a:r>
                  </a:p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6)</a:t>
                    </a:r>
                    <a:endParaRPr lang="en-US" sz="105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2.807</a:t>
                    </a:r>
                  </a:p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3)</a:t>
                    </a:r>
                    <a:endParaRPr lang="en-US" sz="105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2.495</a:t>
                    </a:r>
                  </a:p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3)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2.417</a:t>
                    </a:r>
                  </a:p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3)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2144</a:t>
                    </a:r>
                  </a:p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2)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2.027</a:t>
                    </a:r>
                  </a:p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(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2)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29.030</a:t>
                    </a:r>
                  </a:p>
                  <a:p>
                    <a:r>
                      <a:rPr lang="en-US" sz="1050" b="1">
                        <a:solidFill>
                          <a:sysClr val="windowText" lastClr="000000"/>
                        </a:solidFill>
                      </a:rPr>
                      <a:t>(%30)</a:t>
                    </a:r>
                    <a:endParaRPr lang="en-US" sz="105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Sayfa1!$K$7:$K$17</c:f>
              <c:strCache>
                <c:ptCount val="11"/>
                <c:pt idx="0">
                  <c:v>Akciğer</c:v>
                </c:pt>
                <c:pt idx="1">
                  <c:v>Prostat</c:v>
                </c:pt>
                <c:pt idx="2">
                  <c:v>Kolorektal</c:v>
                </c:pt>
                <c:pt idx="3">
                  <c:v>Mesane</c:v>
                </c:pt>
                <c:pt idx="4">
                  <c:v>Mide </c:v>
                </c:pt>
                <c:pt idx="5">
                  <c:v>NHL</c:v>
                </c:pt>
                <c:pt idx="6">
                  <c:v>Böbrek</c:v>
                </c:pt>
                <c:pt idx="7">
                  <c:v>Larinks</c:v>
                </c:pt>
                <c:pt idx="8">
                  <c:v>Tiroid</c:v>
                </c:pt>
                <c:pt idx="9">
                  <c:v>Beyin Sinir Sistemi</c:v>
                </c:pt>
                <c:pt idx="10">
                  <c:v>Diğer</c:v>
                </c:pt>
              </c:strCache>
            </c:strRef>
          </c:cat>
          <c:val>
            <c:numRef>
              <c:f>Sayfa1!$N$7:$N$17</c:f>
              <c:numCache>
                <c:formatCode>0</c:formatCode>
                <c:ptCount val="11"/>
                <c:pt idx="0">
                  <c:v>20466.758549999999</c:v>
                </c:pt>
                <c:pt idx="1">
                  <c:v>12825.835358</c:v>
                </c:pt>
                <c:pt idx="2">
                  <c:v>8888.4208560000006</c:v>
                </c:pt>
                <c:pt idx="3">
                  <c:v>7523.9702860000007</c:v>
                </c:pt>
                <c:pt idx="4">
                  <c:v>5574.7551860000003</c:v>
                </c:pt>
                <c:pt idx="5">
                  <c:v>2806.8697440000005</c:v>
                </c:pt>
                <c:pt idx="6">
                  <c:v>2494.995328</c:v>
                </c:pt>
                <c:pt idx="7">
                  <c:v>2417.0267240000003</c:v>
                </c:pt>
                <c:pt idx="8">
                  <c:v>2144.13661</c:v>
                </c:pt>
                <c:pt idx="9">
                  <c:v>2027.183704</c:v>
                </c:pt>
                <c:pt idx="10">
                  <c:v>29030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tr-T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'tütünle ilşkili'!$N$31</c:f>
              <c:strCache>
                <c:ptCount val="1"/>
                <c:pt idx="0">
                  <c:v>Tütünle İlişkili Erkek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'tütünle ilşkili'!$U$2:$Y$2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'tütünle ilşkili'!$U$31:$Y$31</c:f>
              <c:numCache>
                <c:formatCode>0.0</c:formatCode>
                <c:ptCount val="5"/>
                <c:pt idx="0">
                  <c:v>80.951999999999998</c:v>
                </c:pt>
                <c:pt idx="1">
                  <c:v>83.408000000000001</c:v>
                </c:pt>
                <c:pt idx="2">
                  <c:v>81.605000000000004</c:v>
                </c:pt>
                <c:pt idx="3">
                  <c:v>80.013000000000005</c:v>
                </c:pt>
                <c:pt idx="4">
                  <c:v>71.070000000000007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'tütünle ilşkili'!$N$27</c:f>
              <c:strCache>
                <c:ptCount val="1"/>
                <c:pt idx="0">
                  <c:v>Akciğer Erkek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'tütünle ilşkili'!$U$2:$Y$2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'tütünle ilşkili'!$U$27:$Y$27</c:f>
              <c:numCache>
                <c:formatCode>0.0</c:formatCode>
                <c:ptCount val="5"/>
                <c:pt idx="0">
                  <c:v>52.46</c:v>
                </c:pt>
                <c:pt idx="1">
                  <c:v>53.577999999999996</c:v>
                </c:pt>
                <c:pt idx="2">
                  <c:v>51.943999999999996</c:v>
                </c:pt>
                <c:pt idx="3">
                  <c:v>50.997999999999998</c:v>
                </c:pt>
                <c:pt idx="4">
                  <c:v>45.15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'tütünle ilşkili'!$N$16</c:f>
              <c:strCache>
                <c:ptCount val="1"/>
                <c:pt idx="0">
                  <c:v>Tütünle İlişkili Kadın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'tütünle ilşkili'!$U$2:$Y$2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'tütünle ilşkili'!$U$16:$Y$16</c:f>
              <c:numCache>
                <c:formatCode>0.0</c:formatCode>
                <c:ptCount val="5"/>
                <c:pt idx="0">
                  <c:v>16.141999999999999</c:v>
                </c:pt>
                <c:pt idx="1">
                  <c:v>16.256</c:v>
                </c:pt>
                <c:pt idx="2">
                  <c:v>18.216999999999999</c:v>
                </c:pt>
                <c:pt idx="3">
                  <c:v>18.489000000000001</c:v>
                </c:pt>
                <c:pt idx="4">
                  <c:v>16.311999999999998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'tütünle ilşkili'!$N$10</c:f>
              <c:strCache>
                <c:ptCount val="1"/>
                <c:pt idx="0">
                  <c:v>Akciğer Kadın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'tütünle ilşkili'!$U$2:$Y$2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'tütünle ilşkili'!$U$10:$Y$10</c:f>
              <c:numCache>
                <c:formatCode>0.0</c:formatCode>
                <c:ptCount val="5"/>
                <c:pt idx="0">
                  <c:v>6.88</c:v>
                </c:pt>
                <c:pt idx="1">
                  <c:v>6.7080000000000002</c:v>
                </c:pt>
                <c:pt idx="2">
                  <c:v>7.9980000000000002</c:v>
                </c:pt>
                <c:pt idx="3">
                  <c:v>8.6</c:v>
                </c:pt>
                <c:pt idx="4">
                  <c:v>7.4819999999999993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5974592"/>
        <c:axId val="395973808"/>
      </c:lineChart>
      <c:catAx>
        <c:axId val="39597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5973808"/>
        <c:crosses val="autoZero"/>
        <c:auto val="1"/>
        <c:lblAlgn val="ctr"/>
        <c:lblOffset val="100"/>
        <c:noMultiLvlLbl val="0"/>
      </c:catAx>
      <c:valAx>
        <c:axId val="3959738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İnsidans/100.000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crossAx val="395974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Sayfa1!$P$6</c:f>
              <c:strCache>
                <c:ptCount val="1"/>
                <c:pt idx="0">
                  <c:v>Kadın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 b="1"/>
                      <a:t>16.646</a:t>
                    </a:r>
                  </a:p>
                  <a:p>
                    <a:r>
                      <a:rPr lang="en-US" sz="1050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sz="1050" b="1"/>
                      <a:t>25)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>
                        <a:latin typeface="+mn-lt"/>
                      </a:rPr>
                      <a:t>8.013</a:t>
                    </a:r>
                  </a:p>
                  <a:p>
                    <a:r>
                      <a:rPr lang="en-US" sz="1050" b="1">
                        <a:latin typeface="+mn-lt"/>
                      </a:rPr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sz="1050" b="1">
                        <a:latin typeface="+mn-lt"/>
                      </a:rPr>
                      <a:t>12)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 b="1"/>
                      <a:t>5.342</a:t>
                    </a:r>
                  </a:p>
                  <a:p>
                    <a:r>
                      <a:rPr lang="en-US" sz="1050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sz="1050" b="1"/>
                      <a:t>8)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 b="1"/>
                      <a:t>3.794</a:t>
                    </a:r>
                  </a:p>
                  <a:p>
                    <a:r>
                      <a:rPr lang="en-US" sz="1050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sz="1050" b="1"/>
                      <a:t>6)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 b="1"/>
                      <a:t>3.368</a:t>
                    </a:r>
                  </a:p>
                  <a:p>
                    <a:r>
                      <a:rPr lang="en-US" sz="1050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sz="1050" b="1"/>
                      <a:t>5)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50" b="1"/>
                      <a:t>2.516</a:t>
                    </a:r>
                  </a:p>
                  <a:p>
                    <a:r>
                      <a:rPr lang="en-US" sz="1050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sz="1050" b="1"/>
                      <a:t>4)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="1"/>
                      <a:t>2.361</a:t>
                    </a:r>
                  </a:p>
                  <a:p>
                    <a:r>
                      <a:rPr lang="en-US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b="1"/>
                      <a:t>4)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="1"/>
                      <a:t>1.936</a:t>
                    </a:r>
                  </a:p>
                  <a:p>
                    <a:r>
                      <a:rPr lang="en-US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b="1"/>
                      <a:t>3)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="1"/>
                      <a:t>1.587</a:t>
                    </a:r>
                  </a:p>
                  <a:p>
                    <a:r>
                      <a:rPr lang="en-US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b="1"/>
                      <a:t>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="1"/>
                      <a:t>1.548</a:t>
                    </a:r>
                  </a:p>
                  <a:p>
                    <a:r>
                      <a:rPr lang="en-US" b="1"/>
                      <a:t>(</a:t>
                    </a:r>
                    <a:r>
                      <a:rPr lang="en-US" sz="1000" b="1" i="0" u="none" strike="noStrike" baseline="0">
                        <a:effectLst/>
                      </a:rPr>
                      <a:t>%</a:t>
                    </a:r>
                    <a:r>
                      <a:rPr lang="en-US" b="1"/>
                      <a:t>2)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050" b="1"/>
                      <a:t>20.088</a:t>
                    </a:r>
                  </a:p>
                  <a:p>
                    <a:r>
                      <a:rPr lang="en-US" sz="1050" b="1"/>
                      <a:t>(%30)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Sayfa1!$T$7:$T$17</c:f>
              <c:strCache>
                <c:ptCount val="11"/>
                <c:pt idx="0">
                  <c:v>Meme</c:v>
                </c:pt>
                <c:pt idx="1">
                  <c:v>Tiroid</c:v>
                </c:pt>
                <c:pt idx="2">
                  <c:v>Kolorektal</c:v>
                </c:pt>
                <c:pt idx="3">
                  <c:v>Uterus Korpusu</c:v>
                </c:pt>
                <c:pt idx="4">
                  <c:v>Akciğer</c:v>
                </c:pt>
                <c:pt idx="5">
                  <c:v>Mide</c:v>
                </c:pt>
                <c:pt idx="6">
                  <c:v>Over</c:v>
                </c:pt>
                <c:pt idx="7">
                  <c:v>NHL</c:v>
                </c:pt>
                <c:pt idx="8">
                  <c:v>Beyin Sinir Sistemi</c:v>
                </c:pt>
                <c:pt idx="9">
                  <c:v>Serviks</c:v>
                </c:pt>
                <c:pt idx="10">
                  <c:v>Diğer</c:v>
                </c:pt>
              </c:strCache>
            </c:strRef>
          </c:cat>
          <c:val>
            <c:numRef>
              <c:f>Sayfa1!$R$7:$R$17</c:f>
              <c:numCache>
                <c:formatCode>0</c:formatCode>
                <c:ptCount val="11"/>
                <c:pt idx="0">
                  <c:v>16645.988860000001</c:v>
                </c:pt>
                <c:pt idx="1">
                  <c:v>8013.301614</c:v>
                </c:pt>
                <c:pt idx="2">
                  <c:v>5342.2010760000003</c:v>
                </c:pt>
                <c:pt idx="3">
                  <c:v>3793.7369960000001</c:v>
                </c:pt>
                <c:pt idx="4">
                  <c:v>3367.9093739999998</c:v>
                </c:pt>
                <c:pt idx="5">
                  <c:v>2516.2541299999998</c:v>
                </c:pt>
                <c:pt idx="6">
                  <c:v>2361.4077219999999</c:v>
                </c:pt>
                <c:pt idx="7">
                  <c:v>1935.5800999999999</c:v>
                </c:pt>
                <c:pt idx="8">
                  <c:v>1587.1756819999998</c:v>
                </c:pt>
                <c:pt idx="9">
                  <c:v>1548.46408</c:v>
                </c:pt>
                <c:pt idx="10">
                  <c:v>20088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tr-T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Sayfa1!$F$14</c:f>
              <c:strCache>
                <c:ptCount val="1"/>
                <c:pt idx="0">
                  <c:v>İskemik Kalp ve Diğer Kalp Hastalıkları</c:v>
                </c:pt>
              </c:strCache>
            </c:strRef>
          </c:tx>
          <c:spPr>
            <a:ln w="69850"/>
          </c:spPr>
          <c:marker>
            <c:symbol val="diamond"/>
            <c:size val="10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Sayfa1!$G$13:$K$13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Sayfa1!$G$14:$K$14</c:f>
              <c:numCache>
                <c:formatCode>0.0</c:formatCode>
                <c:ptCount val="5"/>
                <c:pt idx="0">
                  <c:v>22.499671736338627</c:v>
                </c:pt>
                <c:pt idx="1">
                  <c:v>21.569818704103536</c:v>
                </c:pt>
                <c:pt idx="2">
                  <c:v>22.458316360603316</c:v>
                </c:pt>
                <c:pt idx="3">
                  <c:v>23.456426484272974</c:v>
                </c:pt>
                <c:pt idx="4">
                  <c:v>24.516536749322807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Sayfa1!$F$15</c:f>
              <c:strCache>
                <c:ptCount val="1"/>
                <c:pt idx="0">
                  <c:v>Kanser</c:v>
                </c:pt>
              </c:strCache>
            </c:strRef>
          </c:tx>
          <c:spPr>
            <a:ln w="69850"/>
          </c:spPr>
          <c:marker>
            <c:symbol val="diamond"/>
            <c:size val="10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Sayfa1!$G$13:$K$13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Sayfa1!$G$15:$K$15</c:f>
              <c:numCache>
                <c:formatCode>0.0</c:formatCode>
                <c:ptCount val="5"/>
                <c:pt idx="0">
                  <c:v>21.134415162258325</c:v>
                </c:pt>
                <c:pt idx="1">
                  <c:v>21.116501073319064</c:v>
                </c:pt>
                <c:pt idx="2">
                  <c:v>20.756886771800605</c:v>
                </c:pt>
                <c:pt idx="3">
                  <c:v>19.93410471823772</c:v>
                </c:pt>
                <c:pt idx="4">
                  <c:v>19.613484222623711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Sayfa1!$F$16</c:f>
              <c:strCache>
                <c:ptCount val="1"/>
                <c:pt idx="0">
                  <c:v>İnme ve Hipertansif Hastalıklar</c:v>
                </c:pt>
              </c:strCache>
            </c:strRef>
          </c:tx>
          <c:spPr>
            <a:ln w="69850"/>
          </c:spPr>
          <c:marker>
            <c:symbol val="diamond"/>
            <c:size val="10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Sayfa1!$G$13:$K$13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Sayfa1!$G$16:$K$16</c:f>
              <c:numCache>
                <c:formatCode>0.0</c:formatCode>
                <c:ptCount val="5"/>
                <c:pt idx="0">
                  <c:v>14.220702067900937</c:v>
                </c:pt>
                <c:pt idx="1">
                  <c:v>14.231681138559416</c:v>
                </c:pt>
                <c:pt idx="2">
                  <c:v>15.050724215998427</c:v>
                </c:pt>
                <c:pt idx="3">
                  <c:v>14.424758692416569</c:v>
                </c:pt>
                <c:pt idx="4">
                  <c:v>13.700312668024024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Sayfa1!$F$17</c:f>
              <c:strCache>
                <c:ptCount val="1"/>
                <c:pt idx="0">
                  <c:v>Solunum Sistemi Hastalıkları</c:v>
                </c:pt>
              </c:strCache>
            </c:strRef>
          </c:tx>
          <c:spPr>
            <a:ln w="69850"/>
          </c:spPr>
          <c:marker>
            <c:symbol val="diamond"/>
            <c:size val="10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tr-T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Sayfa1!$G$13:$K$13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Sayfa1!$G$17:$K$17</c:f>
              <c:numCache>
                <c:formatCode>0.0</c:formatCode>
                <c:ptCount val="5"/>
                <c:pt idx="0">
                  <c:v>10.1</c:v>
                </c:pt>
                <c:pt idx="1">
                  <c:v>9.6999999999999993</c:v>
                </c:pt>
                <c:pt idx="2">
                  <c:v>9.8000000000000007</c:v>
                </c:pt>
                <c:pt idx="3">
                  <c:v>10.6</c:v>
                </c:pt>
                <c:pt idx="4">
                  <c:v>11.1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5974200"/>
        <c:axId val="395979296"/>
      </c:lineChart>
      <c:catAx>
        <c:axId val="39597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tr-TR"/>
          </a:p>
        </c:txPr>
        <c:crossAx val="395979296"/>
        <c:crosses val="autoZero"/>
        <c:auto val="1"/>
        <c:lblAlgn val="ctr"/>
        <c:lblOffset val="100"/>
        <c:noMultiLvlLbl val="0"/>
      </c:catAx>
      <c:valAx>
        <c:axId val="3959792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tr-TR" sz="1200">
                    <a:latin typeface="Arial" panose="020B0604020202020204" pitchFamily="34" charset="0"/>
                    <a:cs typeface="Arial" panose="020B0604020202020204" pitchFamily="34" charset="0"/>
                  </a:rPr>
                  <a:t>Yüzde</a:t>
                </a:r>
              </a:p>
            </c:rich>
          </c:tx>
          <c:layout>
            <c:manualLayout>
              <c:xMode val="edge"/>
              <c:yMode val="edge"/>
              <c:x val="2.6867994518879338E-2"/>
              <c:y val="0.41475581660517252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tr-TR"/>
          </a:p>
        </c:txPr>
        <c:crossAx val="395974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  <a:scene3d>
      <a:camera prst="orthographicFront"/>
      <a:lightRig rig="threePt" dir="t"/>
    </a:scene3d>
    <a:sp3d>
      <a:bevelT/>
    </a:sp3d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0.11103</cdr:x>
      <cdr:y>0.10417</cdr:y>
    </cdr:to>
    <cdr:sp macro="" textlink="">
      <cdr:nvSpPr>
        <cdr:cNvPr id="2" name="1 Metin kutusu"/>
        <cdr:cNvSpPr txBox="1"/>
      </cdr:nvSpPr>
      <cdr:spPr>
        <a:xfrm xmlns:a="http://schemas.openxmlformats.org/drawingml/2006/main">
          <a:off x="0" y="0"/>
          <a:ext cx="557327" cy="285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r-TR" sz="1000"/>
            <a:t>İnsidans</a:t>
          </a:r>
        </a:p>
      </cdr:txBody>
    </cdr:sp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SELİN DÜNDAR</dc:creator>
  <cp:lastModifiedBy>Administrator</cp:lastModifiedBy>
  <cp:revision>2</cp:revision>
  <cp:lastPrinted>2017-02-02T11:42:00Z</cp:lastPrinted>
  <dcterms:created xsi:type="dcterms:W3CDTF">2017-03-28T12:47:00Z</dcterms:created>
  <dcterms:modified xsi:type="dcterms:W3CDTF">2017-03-28T12:47:00Z</dcterms:modified>
</cp:coreProperties>
</file>